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AEB32" w14:textId="77777777" w:rsidR="00817771" w:rsidRDefault="00000000">
      <w:pPr>
        <w:pStyle w:val="Default"/>
        <w:spacing w:before="0" w:line="240" w:lineRule="auto"/>
        <w:rPr>
          <w:sz w:val="29"/>
          <w:szCs w:val="29"/>
        </w:rPr>
      </w:pPr>
      <w:r>
        <w:rPr>
          <w:b/>
          <w:bCs/>
          <w:sz w:val="29"/>
          <w:szCs w:val="29"/>
        </w:rPr>
        <w:t> </w:t>
      </w:r>
    </w:p>
    <w:p w14:paraId="64CD9653" w14:textId="77777777" w:rsidR="00817771" w:rsidRDefault="00817771">
      <w:pPr>
        <w:pStyle w:val="Default"/>
        <w:spacing w:before="0" w:line="240" w:lineRule="auto"/>
        <w:jc w:val="center"/>
        <w:rPr>
          <w:sz w:val="29"/>
          <w:szCs w:val="29"/>
        </w:rPr>
      </w:pPr>
    </w:p>
    <w:p w14:paraId="3E0CCF72" w14:textId="77777777" w:rsidR="00817771" w:rsidRDefault="00817771">
      <w:pPr>
        <w:pStyle w:val="Default"/>
        <w:spacing w:before="0" w:line="240" w:lineRule="auto"/>
        <w:jc w:val="center"/>
        <w:rPr>
          <w:sz w:val="29"/>
          <w:szCs w:val="29"/>
        </w:rPr>
      </w:pPr>
    </w:p>
    <w:p w14:paraId="0C7F301E" w14:textId="77777777" w:rsidR="00817771" w:rsidRDefault="00817771">
      <w:pPr>
        <w:pStyle w:val="Default"/>
        <w:spacing w:before="0" w:line="240" w:lineRule="auto"/>
        <w:jc w:val="center"/>
        <w:rPr>
          <w:sz w:val="29"/>
          <w:szCs w:val="29"/>
        </w:rPr>
      </w:pPr>
    </w:p>
    <w:p w14:paraId="0665B15D" w14:textId="77777777" w:rsidR="00817771" w:rsidRDefault="00817771">
      <w:pPr>
        <w:pStyle w:val="Default"/>
        <w:spacing w:before="0" w:line="240" w:lineRule="auto"/>
        <w:jc w:val="center"/>
        <w:rPr>
          <w:sz w:val="29"/>
          <w:szCs w:val="29"/>
        </w:rPr>
      </w:pPr>
    </w:p>
    <w:p w14:paraId="0651F4AF" w14:textId="77777777" w:rsidR="00817771" w:rsidRDefault="00817771">
      <w:pPr>
        <w:pStyle w:val="Default"/>
        <w:spacing w:before="0" w:line="240" w:lineRule="auto"/>
        <w:jc w:val="center"/>
        <w:rPr>
          <w:sz w:val="29"/>
          <w:szCs w:val="29"/>
        </w:rPr>
      </w:pPr>
    </w:p>
    <w:p w14:paraId="1124A462" w14:textId="77777777" w:rsidR="00817771" w:rsidRDefault="00817771">
      <w:pPr>
        <w:pStyle w:val="Default"/>
        <w:spacing w:before="0" w:line="240" w:lineRule="auto"/>
        <w:jc w:val="center"/>
        <w:rPr>
          <w:sz w:val="29"/>
          <w:szCs w:val="29"/>
        </w:rPr>
      </w:pPr>
    </w:p>
    <w:p w14:paraId="45C31007" w14:textId="77777777" w:rsidR="00817771" w:rsidRDefault="00000000">
      <w:pPr>
        <w:pStyle w:val="Default"/>
        <w:spacing w:before="0" w:line="240" w:lineRule="auto"/>
        <w:jc w:val="center"/>
        <w:rPr>
          <w:sz w:val="29"/>
          <w:szCs w:val="29"/>
        </w:rPr>
      </w:pPr>
      <w:r>
        <w:rPr>
          <w:b/>
          <w:bCs/>
          <w:sz w:val="29"/>
          <w:szCs w:val="29"/>
          <w:lang w:val="en-US"/>
        </w:rPr>
        <w:t>Module 5 - Inspiring Student-driven Practices in the Classroom</w:t>
      </w:r>
    </w:p>
    <w:p w14:paraId="674AC0DF" w14:textId="77777777" w:rsidR="00817771" w:rsidRDefault="00000000">
      <w:pPr>
        <w:pStyle w:val="Default"/>
        <w:spacing w:before="0" w:line="240" w:lineRule="auto"/>
        <w:jc w:val="center"/>
        <w:rPr>
          <w:sz w:val="29"/>
          <w:szCs w:val="29"/>
        </w:rPr>
      </w:pPr>
      <w:r>
        <w:rPr>
          <w:b/>
          <w:bCs/>
          <w:sz w:val="29"/>
          <w:szCs w:val="29"/>
        </w:rPr>
        <w:t> </w:t>
      </w:r>
    </w:p>
    <w:p w14:paraId="39D60D2B" w14:textId="77777777" w:rsidR="00817771" w:rsidRDefault="00000000">
      <w:pPr>
        <w:pStyle w:val="Default"/>
        <w:spacing w:before="0" w:line="240" w:lineRule="auto"/>
        <w:jc w:val="center"/>
        <w:rPr>
          <w:sz w:val="29"/>
          <w:szCs w:val="29"/>
        </w:rPr>
      </w:pPr>
      <w:r>
        <w:rPr>
          <w:b/>
          <w:bCs/>
          <w:sz w:val="29"/>
          <w:szCs w:val="29"/>
        </w:rPr>
        <w:t> </w:t>
      </w:r>
    </w:p>
    <w:p w14:paraId="63C40283" w14:textId="77777777" w:rsidR="00817771" w:rsidRDefault="00000000">
      <w:pPr>
        <w:pStyle w:val="Default"/>
        <w:spacing w:before="0" w:line="240" w:lineRule="auto"/>
        <w:jc w:val="center"/>
        <w:rPr>
          <w:sz w:val="29"/>
          <w:szCs w:val="29"/>
        </w:rPr>
      </w:pPr>
      <w:r>
        <w:rPr>
          <w:sz w:val="29"/>
          <w:szCs w:val="29"/>
          <w:lang w:val="it-IT"/>
        </w:rPr>
        <w:t>Richard Stefano</w:t>
      </w:r>
    </w:p>
    <w:p w14:paraId="71A137E6" w14:textId="77777777" w:rsidR="00817771" w:rsidRDefault="00817771">
      <w:pPr>
        <w:pStyle w:val="Default"/>
        <w:spacing w:before="0" w:line="240" w:lineRule="auto"/>
        <w:jc w:val="center"/>
        <w:rPr>
          <w:sz w:val="29"/>
          <w:szCs w:val="29"/>
        </w:rPr>
      </w:pPr>
    </w:p>
    <w:p w14:paraId="50EA6A5D" w14:textId="77777777" w:rsidR="00817771" w:rsidRDefault="00000000">
      <w:pPr>
        <w:pStyle w:val="Default"/>
        <w:spacing w:before="0" w:line="240" w:lineRule="auto"/>
        <w:jc w:val="center"/>
        <w:rPr>
          <w:sz w:val="29"/>
          <w:szCs w:val="29"/>
        </w:rPr>
      </w:pPr>
      <w:r>
        <w:rPr>
          <w:sz w:val="29"/>
          <w:szCs w:val="29"/>
          <w:lang w:val="en-US"/>
        </w:rPr>
        <w:t>Department of Education, Queen</w:t>
      </w:r>
      <w:r>
        <w:rPr>
          <w:sz w:val="29"/>
          <w:szCs w:val="29"/>
          <w:rtl/>
        </w:rPr>
        <w:t>’</w:t>
      </w:r>
      <w:r>
        <w:rPr>
          <w:sz w:val="29"/>
          <w:szCs w:val="29"/>
          <w:lang w:val="en-US"/>
        </w:rPr>
        <w:t>s University</w:t>
      </w:r>
    </w:p>
    <w:p w14:paraId="4BFF5CB5" w14:textId="77777777" w:rsidR="00817771" w:rsidRDefault="00817771">
      <w:pPr>
        <w:pStyle w:val="Default"/>
        <w:spacing w:before="0" w:line="240" w:lineRule="auto"/>
        <w:jc w:val="center"/>
        <w:rPr>
          <w:sz w:val="29"/>
          <w:szCs w:val="29"/>
        </w:rPr>
      </w:pPr>
    </w:p>
    <w:p w14:paraId="1E946D50" w14:textId="77777777" w:rsidR="00817771" w:rsidRDefault="00000000">
      <w:pPr>
        <w:pStyle w:val="Default"/>
        <w:spacing w:before="0" w:line="240" w:lineRule="auto"/>
        <w:jc w:val="center"/>
        <w:rPr>
          <w:sz w:val="29"/>
          <w:szCs w:val="29"/>
        </w:rPr>
      </w:pPr>
      <w:r>
        <w:rPr>
          <w:sz w:val="29"/>
          <w:szCs w:val="29"/>
          <w:lang w:val="en-US"/>
        </w:rPr>
        <w:t>PME 831: Innovative Curriculum Planning</w:t>
      </w:r>
    </w:p>
    <w:p w14:paraId="3F325C92" w14:textId="77777777" w:rsidR="00817771" w:rsidRDefault="00817771">
      <w:pPr>
        <w:pStyle w:val="Default"/>
        <w:spacing w:before="0" w:line="240" w:lineRule="auto"/>
        <w:jc w:val="center"/>
        <w:rPr>
          <w:sz w:val="29"/>
          <w:szCs w:val="29"/>
        </w:rPr>
      </w:pPr>
    </w:p>
    <w:p w14:paraId="0A1623F6" w14:textId="77777777" w:rsidR="00817771" w:rsidRDefault="00000000">
      <w:pPr>
        <w:pStyle w:val="Default"/>
        <w:spacing w:before="0" w:line="240" w:lineRule="auto"/>
        <w:jc w:val="center"/>
        <w:rPr>
          <w:sz w:val="29"/>
          <w:szCs w:val="29"/>
        </w:rPr>
      </w:pPr>
      <w:r>
        <w:rPr>
          <w:sz w:val="29"/>
          <w:szCs w:val="29"/>
          <w:lang w:val="pt-PT"/>
        </w:rPr>
        <w:t xml:space="preserve">Professor </w:t>
      </w:r>
      <w:proofErr w:type="spellStart"/>
      <w:r>
        <w:rPr>
          <w:sz w:val="29"/>
          <w:szCs w:val="29"/>
          <w:lang w:val="pt-PT"/>
        </w:rPr>
        <w:t>Jason</w:t>
      </w:r>
      <w:proofErr w:type="spellEnd"/>
      <w:r>
        <w:rPr>
          <w:sz w:val="29"/>
          <w:szCs w:val="29"/>
          <w:lang w:val="pt-PT"/>
        </w:rPr>
        <w:t xml:space="preserve"> </w:t>
      </w:r>
      <w:proofErr w:type="spellStart"/>
      <w:r>
        <w:rPr>
          <w:sz w:val="29"/>
          <w:szCs w:val="29"/>
          <w:lang w:val="pt-PT"/>
        </w:rPr>
        <w:t>Shulha</w:t>
      </w:r>
      <w:proofErr w:type="spellEnd"/>
    </w:p>
    <w:p w14:paraId="0E6E3C75" w14:textId="77777777" w:rsidR="00817771" w:rsidRDefault="00817771">
      <w:pPr>
        <w:pStyle w:val="Default"/>
        <w:spacing w:before="0" w:line="240" w:lineRule="auto"/>
        <w:jc w:val="center"/>
        <w:rPr>
          <w:sz w:val="29"/>
          <w:szCs w:val="29"/>
        </w:rPr>
      </w:pPr>
    </w:p>
    <w:p w14:paraId="36120ECD" w14:textId="77777777" w:rsidR="00817771" w:rsidRDefault="00000000">
      <w:pPr>
        <w:pStyle w:val="Default"/>
        <w:spacing w:before="0" w:line="240" w:lineRule="auto"/>
        <w:jc w:val="center"/>
        <w:rPr>
          <w:sz w:val="29"/>
          <w:szCs w:val="29"/>
        </w:rPr>
      </w:pPr>
      <w:r>
        <w:rPr>
          <w:sz w:val="29"/>
          <w:szCs w:val="29"/>
          <w:lang w:val="en-US"/>
        </w:rPr>
        <w:t>June 20, 2024</w:t>
      </w:r>
    </w:p>
    <w:p w14:paraId="6DCE8E16" w14:textId="77777777" w:rsidR="00817771" w:rsidRDefault="00817771">
      <w:pPr>
        <w:pStyle w:val="Default"/>
        <w:spacing w:before="0" w:line="240" w:lineRule="auto"/>
        <w:jc w:val="center"/>
        <w:rPr>
          <w:sz w:val="29"/>
          <w:szCs w:val="29"/>
        </w:rPr>
      </w:pPr>
    </w:p>
    <w:p w14:paraId="282DC400" w14:textId="77777777" w:rsidR="00817771" w:rsidRDefault="00817771">
      <w:pPr>
        <w:pStyle w:val="Body"/>
        <w:spacing w:line="480" w:lineRule="auto"/>
        <w:rPr>
          <w:b/>
          <w:bCs/>
        </w:rPr>
      </w:pPr>
    </w:p>
    <w:p w14:paraId="7EC4FDF3" w14:textId="77777777" w:rsidR="00817771" w:rsidRDefault="00817771">
      <w:pPr>
        <w:pStyle w:val="Body"/>
        <w:spacing w:line="480" w:lineRule="auto"/>
        <w:rPr>
          <w:b/>
          <w:bCs/>
        </w:rPr>
      </w:pPr>
    </w:p>
    <w:p w14:paraId="664F5E31" w14:textId="77777777" w:rsidR="00817771" w:rsidRDefault="00817771">
      <w:pPr>
        <w:pStyle w:val="Body"/>
        <w:spacing w:line="480" w:lineRule="auto"/>
        <w:rPr>
          <w:b/>
          <w:bCs/>
        </w:rPr>
      </w:pPr>
    </w:p>
    <w:p w14:paraId="0DDD7504" w14:textId="77777777" w:rsidR="00817771" w:rsidRDefault="00817771">
      <w:pPr>
        <w:pStyle w:val="Body"/>
        <w:spacing w:line="480" w:lineRule="auto"/>
        <w:rPr>
          <w:b/>
          <w:bCs/>
        </w:rPr>
      </w:pPr>
    </w:p>
    <w:p w14:paraId="03DECD8F" w14:textId="77777777" w:rsidR="00817771" w:rsidRDefault="00817771">
      <w:pPr>
        <w:pStyle w:val="Body"/>
        <w:spacing w:line="480" w:lineRule="auto"/>
        <w:rPr>
          <w:b/>
          <w:bCs/>
        </w:rPr>
      </w:pPr>
    </w:p>
    <w:p w14:paraId="158095C8" w14:textId="77777777" w:rsidR="00817771" w:rsidRDefault="00817771">
      <w:pPr>
        <w:pStyle w:val="Body"/>
        <w:spacing w:line="480" w:lineRule="auto"/>
        <w:rPr>
          <w:b/>
          <w:bCs/>
        </w:rPr>
      </w:pPr>
    </w:p>
    <w:p w14:paraId="00FEE14B" w14:textId="77777777" w:rsidR="00817771" w:rsidRDefault="00817771">
      <w:pPr>
        <w:pStyle w:val="Body"/>
        <w:spacing w:line="480" w:lineRule="auto"/>
        <w:rPr>
          <w:b/>
          <w:bCs/>
        </w:rPr>
      </w:pPr>
    </w:p>
    <w:p w14:paraId="4D15A03C" w14:textId="77777777" w:rsidR="00817771" w:rsidRDefault="00817771">
      <w:pPr>
        <w:pStyle w:val="Body"/>
        <w:spacing w:line="480" w:lineRule="auto"/>
        <w:rPr>
          <w:b/>
          <w:bCs/>
        </w:rPr>
      </w:pPr>
    </w:p>
    <w:p w14:paraId="51B0FB28" w14:textId="77777777" w:rsidR="00817771" w:rsidRDefault="00817771">
      <w:pPr>
        <w:pStyle w:val="Body"/>
        <w:spacing w:line="480" w:lineRule="auto"/>
        <w:rPr>
          <w:b/>
          <w:bCs/>
        </w:rPr>
      </w:pPr>
    </w:p>
    <w:p w14:paraId="0DA01F47" w14:textId="77777777" w:rsidR="00817771" w:rsidRDefault="00817771">
      <w:pPr>
        <w:pStyle w:val="Body"/>
        <w:spacing w:line="480" w:lineRule="auto"/>
        <w:rPr>
          <w:b/>
          <w:bCs/>
        </w:rPr>
      </w:pPr>
    </w:p>
    <w:p w14:paraId="52DC8FEE" w14:textId="77777777" w:rsidR="00817771" w:rsidRDefault="00817771">
      <w:pPr>
        <w:pStyle w:val="Body"/>
        <w:spacing w:line="480" w:lineRule="auto"/>
        <w:rPr>
          <w:b/>
          <w:bCs/>
        </w:rPr>
      </w:pPr>
    </w:p>
    <w:p w14:paraId="728A6C95" w14:textId="77777777" w:rsidR="00817771" w:rsidRDefault="00817771">
      <w:pPr>
        <w:pStyle w:val="Body"/>
        <w:spacing w:line="480" w:lineRule="auto"/>
        <w:rPr>
          <w:b/>
          <w:bCs/>
        </w:rPr>
      </w:pPr>
    </w:p>
    <w:p w14:paraId="43748923" w14:textId="77777777" w:rsidR="00817771" w:rsidRDefault="00000000">
      <w:pPr>
        <w:pStyle w:val="Body"/>
        <w:spacing w:line="480" w:lineRule="auto"/>
        <w:rPr>
          <w:b/>
          <w:bCs/>
          <w:sz w:val="24"/>
          <w:szCs w:val="24"/>
        </w:rPr>
      </w:pPr>
      <w:r>
        <w:rPr>
          <w:b/>
          <w:bCs/>
          <w:sz w:val="24"/>
          <w:szCs w:val="24"/>
          <w:lang w:val="en-US"/>
        </w:rPr>
        <w:t>Purpose and Approach</w:t>
      </w:r>
    </w:p>
    <w:p w14:paraId="68BDEB0A" w14:textId="77777777" w:rsidR="00817771" w:rsidRDefault="00000000">
      <w:pPr>
        <w:pStyle w:val="Body"/>
        <w:spacing w:line="480" w:lineRule="auto"/>
        <w:rPr>
          <w:sz w:val="24"/>
          <w:szCs w:val="24"/>
        </w:rPr>
      </w:pPr>
      <w:r>
        <w:rPr>
          <w:sz w:val="24"/>
          <w:szCs w:val="24"/>
          <w:lang w:val="en-US"/>
        </w:rPr>
        <w:t>The purpose of this workshop is to inspire my co-workers to engage in student-driven learning in their classrooms. They will leave the presentation with a bias toward action (</w:t>
      </w:r>
      <w:r>
        <w:rPr>
          <w:sz w:val="24"/>
          <w:szCs w:val="24"/>
        </w:rPr>
        <w:t>Hofer &amp; Johnson, 2017)</w:t>
      </w:r>
      <w:r>
        <w:rPr>
          <w:sz w:val="24"/>
          <w:szCs w:val="24"/>
          <w:lang w:val="en-US"/>
        </w:rPr>
        <w:t>, an understanding of my experience with risk-taking, and ideas for small, real actions they can take immediately to implement student-driven learning in their own classrooms. I want to begin by engaging them with my own story of implementing student-driven learning, then discuss reflection and fear of failure to encourage buy-in, and finally discuss how every teacher can take small but meaningful risks.</w:t>
      </w:r>
    </w:p>
    <w:p w14:paraId="58EECAFA" w14:textId="77777777" w:rsidR="00817771" w:rsidRDefault="00817771">
      <w:pPr>
        <w:pStyle w:val="Body"/>
        <w:spacing w:line="480" w:lineRule="auto"/>
        <w:rPr>
          <w:b/>
          <w:bCs/>
          <w:sz w:val="24"/>
          <w:szCs w:val="24"/>
        </w:rPr>
      </w:pPr>
    </w:p>
    <w:p w14:paraId="5BEDCBAF" w14:textId="77777777" w:rsidR="00817771" w:rsidRDefault="00000000">
      <w:pPr>
        <w:pStyle w:val="Body"/>
        <w:spacing w:line="480" w:lineRule="auto"/>
        <w:rPr>
          <w:b/>
          <w:bCs/>
          <w:sz w:val="24"/>
          <w:szCs w:val="24"/>
        </w:rPr>
      </w:pPr>
      <w:r>
        <w:rPr>
          <w:b/>
          <w:bCs/>
          <w:sz w:val="24"/>
          <w:szCs w:val="24"/>
          <w:lang w:val="en-US"/>
        </w:rPr>
        <w:t>Audience and Inclusion</w:t>
      </w:r>
    </w:p>
    <w:p w14:paraId="4CABE3DF" w14:textId="77777777" w:rsidR="00817771" w:rsidRDefault="00000000">
      <w:pPr>
        <w:pStyle w:val="Body"/>
        <w:spacing w:line="480" w:lineRule="auto"/>
        <w:rPr>
          <w:sz w:val="24"/>
          <w:szCs w:val="24"/>
        </w:rPr>
      </w:pPr>
      <w:r>
        <w:rPr>
          <w:sz w:val="24"/>
          <w:szCs w:val="24"/>
          <w:lang w:val="en-US"/>
        </w:rPr>
        <w:t>My foreign teacher co-workers are from several English-speaking countries, and have all been living in China for at least several years. I also have bilingual Chinese co-workers who teach ELLs in their Language Acquisition courses. I was not able to create live captions for the presentation, but have provided a script to go with the presentation that should help accommodate different learning styles and language levels (</w:t>
      </w:r>
      <w:proofErr w:type="spellStart"/>
      <w:r>
        <w:rPr>
          <w:sz w:val="24"/>
          <w:szCs w:val="24"/>
          <w:lang w:val="en-US"/>
        </w:rPr>
        <w:t>Stentiford</w:t>
      </w:r>
      <w:proofErr w:type="spellEnd"/>
      <w:r>
        <w:rPr>
          <w:sz w:val="24"/>
          <w:szCs w:val="24"/>
          <w:lang w:val="en-US"/>
        </w:rPr>
        <w:t xml:space="preserve"> &amp; </w:t>
      </w:r>
      <w:proofErr w:type="spellStart"/>
      <w:r>
        <w:rPr>
          <w:sz w:val="24"/>
          <w:szCs w:val="24"/>
          <w:lang w:val="en-US"/>
        </w:rPr>
        <w:t>Koutsouris</w:t>
      </w:r>
      <w:proofErr w:type="spellEnd"/>
      <w:r>
        <w:rPr>
          <w:sz w:val="24"/>
          <w:szCs w:val="24"/>
          <w:lang w:val="en-US"/>
        </w:rPr>
        <w:t>, 2021). While Dorian Peter (</w:t>
      </w:r>
      <w:r>
        <w:rPr>
          <w:sz w:val="24"/>
          <w:szCs w:val="24"/>
          <w:lang w:val="da-DK"/>
        </w:rPr>
        <w:t>Peters</w:t>
      </w:r>
      <w:r>
        <w:rPr>
          <w:sz w:val="24"/>
          <w:szCs w:val="24"/>
          <w:lang w:val="en-US"/>
        </w:rPr>
        <w:t xml:space="preserve">, 2005) recommends avoiding redundancies, I’ve provided the option of both pictures with narration, and pictures with narration and the script. I’ve also spoken quite slowly — and hopefully clearly — in order to make sure everyone is able to follow along if they are interested in the video version of the slideshow. </w:t>
      </w:r>
    </w:p>
    <w:p w14:paraId="7951C00B" w14:textId="77777777" w:rsidR="00817771" w:rsidRDefault="00000000">
      <w:pPr>
        <w:pStyle w:val="Body"/>
        <w:spacing w:line="480" w:lineRule="auto"/>
        <w:rPr>
          <w:sz w:val="24"/>
          <w:szCs w:val="24"/>
        </w:rPr>
      </w:pPr>
      <w:r>
        <w:rPr>
          <w:sz w:val="24"/>
          <w:szCs w:val="24"/>
          <w:lang w:val="en-US"/>
        </w:rPr>
        <w:lastRenderedPageBreak/>
        <w:t>The other concern with my audience is that their various education backgrounds and professional experiences mean that we do not have much common ground in our approaches or our teaching vocabulary. I’ve tried to avoid using terms that are not commonly known, and I’ve defined or explained the specific terms that my colleagues might not be familiar with.</w:t>
      </w:r>
    </w:p>
    <w:p w14:paraId="504164A0" w14:textId="77777777" w:rsidR="00817771" w:rsidRDefault="00817771">
      <w:pPr>
        <w:pStyle w:val="Body"/>
        <w:spacing w:line="480" w:lineRule="auto"/>
        <w:rPr>
          <w:b/>
          <w:bCs/>
          <w:sz w:val="24"/>
          <w:szCs w:val="24"/>
        </w:rPr>
      </w:pPr>
    </w:p>
    <w:p w14:paraId="77BE2710" w14:textId="77777777" w:rsidR="00817771" w:rsidRDefault="00000000">
      <w:pPr>
        <w:pStyle w:val="Body"/>
        <w:spacing w:line="480" w:lineRule="auto"/>
        <w:rPr>
          <w:b/>
          <w:bCs/>
          <w:sz w:val="24"/>
          <w:szCs w:val="24"/>
        </w:rPr>
      </w:pPr>
      <w:r>
        <w:rPr>
          <w:b/>
          <w:bCs/>
          <w:sz w:val="24"/>
          <w:szCs w:val="24"/>
          <w:lang w:val="en-US"/>
        </w:rPr>
        <w:t>Presentation Design</w:t>
      </w:r>
    </w:p>
    <w:p w14:paraId="54ED81F4" w14:textId="77777777" w:rsidR="00817771" w:rsidRDefault="00000000">
      <w:pPr>
        <w:pStyle w:val="Body"/>
        <w:spacing w:line="480" w:lineRule="auto"/>
        <w:rPr>
          <w:sz w:val="24"/>
          <w:szCs w:val="24"/>
        </w:rPr>
      </w:pPr>
      <w:r>
        <w:rPr>
          <w:sz w:val="24"/>
          <w:szCs w:val="24"/>
          <w:lang w:val="en-US"/>
        </w:rPr>
        <w:t xml:space="preserve">I’ve tried to address the modality and redundancy principles (Peters, 2005) by creating slides with on-screen text and pictures, and then eliminating unnecessary on-screen text (Mitchell, 2018) in </w:t>
      </w:r>
      <w:proofErr w:type="spellStart"/>
      <w:r>
        <w:rPr>
          <w:sz w:val="24"/>
          <w:szCs w:val="24"/>
          <w:lang w:val="en-US"/>
        </w:rPr>
        <w:t>favour</w:t>
      </w:r>
      <w:proofErr w:type="spellEnd"/>
      <w:r>
        <w:rPr>
          <w:sz w:val="24"/>
          <w:szCs w:val="24"/>
          <w:lang w:val="en-US"/>
        </w:rPr>
        <w:t xml:space="preserve"> of my narration. I’ve tried to keep a conversational tone, rather than a formal one. I’ve also </w:t>
      </w:r>
      <w:proofErr w:type="spellStart"/>
      <w:r>
        <w:rPr>
          <w:sz w:val="24"/>
          <w:szCs w:val="24"/>
          <w:lang w:val="en-US"/>
        </w:rPr>
        <w:t>signalled</w:t>
      </w:r>
      <w:proofErr w:type="spellEnd"/>
      <w:r>
        <w:rPr>
          <w:sz w:val="24"/>
          <w:szCs w:val="24"/>
          <w:lang w:val="en-US"/>
        </w:rPr>
        <w:t xml:space="preserve"> </w:t>
      </w:r>
      <w:r>
        <w:rPr>
          <w:sz w:val="24"/>
          <w:szCs w:val="24"/>
        </w:rPr>
        <w:t xml:space="preserve">(Peters, 2005) </w:t>
      </w:r>
      <w:r>
        <w:rPr>
          <w:sz w:val="24"/>
          <w:szCs w:val="24"/>
          <w:lang w:val="en-US"/>
        </w:rPr>
        <w:t xml:space="preserve">the organization of the presentation and I’ve included bits of </w:t>
      </w:r>
      <w:proofErr w:type="spellStart"/>
      <w:r>
        <w:rPr>
          <w:sz w:val="24"/>
          <w:szCs w:val="24"/>
          <w:lang w:val="en-US"/>
        </w:rPr>
        <w:t>humour</w:t>
      </w:r>
      <w:proofErr w:type="spellEnd"/>
      <w:r>
        <w:rPr>
          <w:sz w:val="24"/>
          <w:szCs w:val="24"/>
          <w:lang w:val="en-US"/>
        </w:rPr>
        <w:t xml:space="preserve"> in the text and pictures, and used my experience to tell a story to try and engage my audience (Pelling, 2017). </w:t>
      </w:r>
    </w:p>
    <w:p w14:paraId="369F5245" w14:textId="77777777" w:rsidR="00817771" w:rsidRDefault="00817771">
      <w:pPr>
        <w:pStyle w:val="Body"/>
        <w:spacing w:line="480" w:lineRule="auto"/>
        <w:rPr>
          <w:b/>
          <w:bCs/>
          <w:sz w:val="24"/>
          <w:szCs w:val="24"/>
        </w:rPr>
      </w:pPr>
    </w:p>
    <w:p w14:paraId="1923F8BC" w14:textId="77777777" w:rsidR="00817771" w:rsidRDefault="00000000">
      <w:pPr>
        <w:pStyle w:val="Body"/>
        <w:spacing w:line="480" w:lineRule="auto"/>
        <w:rPr>
          <w:b/>
          <w:bCs/>
          <w:sz w:val="24"/>
          <w:szCs w:val="24"/>
        </w:rPr>
      </w:pPr>
      <w:r>
        <w:rPr>
          <w:b/>
          <w:bCs/>
          <w:sz w:val="24"/>
          <w:szCs w:val="24"/>
          <w:lang w:val="en-US"/>
        </w:rPr>
        <w:t>Hack Mindset</w:t>
      </w:r>
    </w:p>
    <w:p w14:paraId="140A0BB5" w14:textId="77777777" w:rsidR="00817771" w:rsidRDefault="00000000">
      <w:pPr>
        <w:pStyle w:val="Body"/>
        <w:spacing w:line="480" w:lineRule="auto"/>
        <w:rPr>
          <w:sz w:val="24"/>
          <w:szCs w:val="24"/>
        </w:rPr>
      </w:pPr>
      <w:r>
        <w:rPr>
          <w:sz w:val="24"/>
          <w:szCs w:val="24"/>
          <w:lang w:val="en-US"/>
        </w:rPr>
        <w:t xml:space="preserve">I’ve started with segmenting my presentation by showing the structure of my workshop </w:t>
      </w:r>
      <w:r>
        <w:rPr>
          <w:sz w:val="24"/>
          <w:szCs w:val="24"/>
        </w:rPr>
        <w:t>(Peters, 2005)</w:t>
      </w:r>
      <w:r>
        <w:rPr>
          <w:sz w:val="24"/>
          <w:szCs w:val="24"/>
          <w:lang w:val="en-US"/>
        </w:rPr>
        <w:t xml:space="preserve">. This also helps pre-train my audience </w:t>
      </w:r>
      <w:r>
        <w:rPr>
          <w:sz w:val="24"/>
          <w:szCs w:val="24"/>
        </w:rPr>
        <w:t>(Peters, 2005)</w:t>
      </w:r>
      <w:r>
        <w:rPr>
          <w:sz w:val="24"/>
          <w:szCs w:val="24"/>
          <w:lang w:val="en-US"/>
        </w:rPr>
        <w:t xml:space="preserve"> and introduces</w:t>
      </w:r>
      <w:r>
        <w:rPr>
          <w:sz w:val="24"/>
          <w:szCs w:val="24"/>
        </w:rPr>
        <w:t xml:space="preserve"> </w:t>
      </w:r>
      <w:r>
        <w:rPr>
          <w:sz w:val="24"/>
          <w:szCs w:val="24"/>
          <w:lang w:val="en-US"/>
        </w:rPr>
        <w:t>key terms such as failing forward (Hofer &amp; Johnson, 2017), start small (Hawker Brownlow Education, 2013) and reframing failure,</w:t>
      </w:r>
      <w:r>
        <w:rPr>
          <w:sz w:val="24"/>
          <w:szCs w:val="24"/>
        </w:rPr>
        <w:t xml:space="preserve"> </w:t>
      </w:r>
      <w:r>
        <w:rPr>
          <w:sz w:val="24"/>
          <w:szCs w:val="24"/>
          <w:lang w:val="en-US"/>
        </w:rPr>
        <w:t xml:space="preserve">so the audience can use them in their own courses or discussions. The hack mindset (Hofer &amp; Johnson, 2017) discusses the importance of empathy in inspiring risk-taking, so I’ve started my presentation by discussing my own experience with student-driven learning and risk-taking to allow my </w:t>
      </w:r>
      <w:r>
        <w:rPr>
          <w:sz w:val="24"/>
          <w:szCs w:val="24"/>
          <w:lang w:val="en-US"/>
        </w:rPr>
        <w:lastRenderedPageBreak/>
        <w:t xml:space="preserve">audience to relate to my fear of failure, but also to understand my feelings of relief and success once the project was finished. </w:t>
      </w:r>
    </w:p>
    <w:p w14:paraId="606FD633" w14:textId="77777777" w:rsidR="00817771" w:rsidRDefault="00000000">
      <w:pPr>
        <w:pStyle w:val="Body"/>
        <w:spacing w:line="480" w:lineRule="auto"/>
        <w:rPr>
          <w:sz w:val="24"/>
          <w:szCs w:val="24"/>
        </w:rPr>
      </w:pPr>
      <w:r>
        <w:rPr>
          <w:sz w:val="24"/>
          <w:szCs w:val="24"/>
          <w:lang w:val="en-US"/>
        </w:rPr>
        <w:t>I’ve explicitly used terms from the hack mindset and Understanding by Design (Hawker Brownlow Education, 2013), and the presentation is focused around understanding the benefits of this risk and creating small, real actions we can take immediately.</w:t>
      </w:r>
    </w:p>
    <w:p w14:paraId="3D794C40" w14:textId="77777777" w:rsidR="00817771" w:rsidRDefault="00000000">
      <w:pPr>
        <w:pStyle w:val="Body"/>
        <w:spacing w:line="480" w:lineRule="auto"/>
        <w:rPr>
          <w:sz w:val="24"/>
          <w:szCs w:val="24"/>
        </w:rPr>
      </w:pPr>
      <w:r>
        <w:rPr>
          <w:sz w:val="24"/>
          <w:szCs w:val="24"/>
          <w:lang w:val="en-US"/>
        </w:rPr>
        <w:t>I’ve also attempted to problematize risk-taking (Hofer &amp; Johnson, 2017) by asking my audience to identify issues in their classroom regarding engagement or learning outcomes, and consider how student-driven learning might address those issues. Problematizing risk-taking can have a similar effect on teachers that it can have on students by sparking wonder and improving engagement (</w:t>
      </w:r>
      <w:r>
        <w:rPr>
          <w:sz w:val="24"/>
          <w:szCs w:val="24"/>
          <w:lang w:val="nl-NL"/>
        </w:rPr>
        <w:t>Gini-</w:t>
      </w:r>
      <w:proofErr w:type="spellStart"/>
      <w:r>
        <w:rPr>
          <w:sz w:val="24"/>
          <w:szCs w:val="24"/>
          <w:lang w:val="nl-NL"/>
        </w:rPr>
        <w:t>Newman</w:t>
      </w:r>
      <w:proofErr w:type="spellEnd"/>
      <w:r>
        <w:rPr>
          <w:sz w:val="24"/>
          <w:szCs w:val="24"/>
          <w:lang w:val="nl-NL"/>
        </w:rPr>
        <w:t>, 2017).</w:t>
      </w:r>
      <w:r>
        <w:rPr>
          <w:sz w:val="24"/>
          <w:szCs w:val="24"/>
          <w:lang w:val="en-US"/>
        </w:rPr>
        <w:t xml:space="preserve"> Once my audience understands my experience, the benefits of </w:t>
      </w:r>
      <w:r>
        <w:rPr>
          <w:sz w:val="24"/>
          <w:szCs w:val="24"/>
          <w:rtl/>
          <w:lang w:val="ar-SA"/>
        </w:rPr>
        <w:t>“</w:t>
      </w:r>
      <w:r>
        <w:rPr>
          <w:sz w:val="24"/>
          <w:szCs w:val="24"/>
          <w:lang w:val="en-US"/>
        </w:rPr>
        <w:t>failure</w:t>
      </w:r>
      <w:r>
        <w:rPr>
          <w:sz w:val="24"/>
          <w:szCs w:val="24"/>
        </w:rPr>
        <w:t xml:space="preserve">” </w:t>
      </w:r>
      <w:r>
        <w:rPr>
          <w:sz w:val="24"/>
          <w:szCs w:val="24"/>
          <w:lang w:val="en-US"/>
        </w:rPr>
        <w:t>(</w:t>
      </w:r>
      <w:proofErr w:type="spellStart"/>
      <w:r>
        <w:rPr>
          <w:sz w:val="24"/>
          <w:szCs w:val="24"/>
          <w:lang w:val="en-US"/>
        </w:rPr>
        <w:t>Tahirsylaj</w:t>
      </w:r>
      <w:proofErr w:type="spellEnd"/>
      <w:r>
        <w:rPr>
          <w:sz w:val="24"/>
          <w:szCs w:val="24"/>
          <w:lang w:val="en-US"/>
        </w:rPr>
        <w:t>, 2012), and the need for reflection, they are ready to take small risks that will help them manage their fear and reduce stress (Hofer &amp; Johnson, 2017). I hope that my experience and suggestions can inspire my audience to have a bias toward action (</w:t>
      </w:r>
      <w:r>
        <w:rPr>
          <w:sz w:val="24"/>
          <w:szCs w:val="24"/>
        </w:rPr>
        <w:t>Hofer &amp; Johnson, 2017)</w:t>
      </w:r>
      <w:r>
        <w:rPr>
          <w:sz w:val="24"/>
          <w:szCs w:val="24"/>
          <w:lang w:val="en-US"/>
        </w:rPr>
        <w:t xml:space="preserve"> and to start immediately with small but innovative actions in their classrooms.</w:t>
      </w:r>
    </w:p>
    <w:p w14:paraId="716F1867" w14:textId="77777777" w:rsidR="00817771" w:rsidRDefault="00817771">
      <w:pPr>
        <w:pStyle w:val="Body"/>
        <w:spacing w:line="480" w:lineRule="auto"/>
        <w:rPr>
          <w:sz w:val="24"/>
          <w:szCs w:val="24"/>
        </w:rPr>
      </w:pPr>
    </w:p>
    <w:p w14:paraId="4E080980" w14:textId="77777777" w:rsidR="00817771" w:rsidRDefault="00817771">
      <w:pPr>
        <w:pStyle w:val="Body"/>
        <w:spacing w:line="480" w:lineRule="auto"/>
        <w:rPr>
          <w:sz w:val="24"/>
          <w:szCs w:val="24"/>
        </w:rPr>
      </w:pPr>
    </w:p>
    <w:p w14:paraId="25614480" w14:textId="77777777" w:rsidR="00817771" w:rsidRDefault="00817771">
      <w:pPr>
        <w:pStyle w:val="Body"/>
        <w:spacing w:line="480" w:lineRule="auto"/>
        <w:rPr>
          <w:sz w:val="24"/>
          <w:szCs w:val="24"/>
        </w:rPr>
      </w:pPr>
    </w:p>
    <w:p w14:paraId="1F8DA38A" w14:textId="77777777" w:rsidR="00817771" w:rsidRDefault="00817771">
      <w:pPr>
        <w:pStyle w:val="Body"/>
        <w:spacing w:line="480" w:lineRule="auto"/>
        <w:rPr>
          <w:sz w:val="24"/>
          <w:szCs w:val="24"/>
        </w:rPr>
      </w:pPr>
    </w:p>
    <w:p w14:paraId="17C7B216" w14:textId="77777777" w:rsidR="00817771" w:rsidRDefault="00817771">
      <w:pPr>
        <w:pStyle w:val="Body"/>
        <w:spacing w:line="480" w:lineRule="auto"/>
        <w:rPr>
          <w:sz w:val="24"/>
          <w:szCs w:val="24"/>
        </w:rPr>
      </w:pPr>
    </w:p>
    <w:p w14:paraId="6307BE5F" w14:textId="77777777" w:rsidR="00817771" w:rsidRDefault="00817771">
      <w:pPr>
        <w:pStyle w:val="Body"/>
        <w:spacing w:line="480" w:lineRule="auto"/>
        <w:rPr>
          <w:sz w:val="24"/>
          <w:szCs w:val="24"/>
        </w:rPr>
      </w:pPr>
    </w:p>
    <w:p w14:paraId="27CCB384" w14:textId="77777777" w:rsidR="00817771" w:rsidRDefault="00817771">
      <w:pPr>
        <w:pStyle w:val="Body"/>
        <w:spacing w:line="480" w:lineRule="auto"/>
        <w:rPr>
          <w:sz w:val="24"/>
          <w:szCs w:val="24"/>
        </w:rPr>
      </w:pPr>
    </w:p>
    <w:p w14:paraId="730FA99D" w14:textId="77777777" w:rsidR="00817771" w:rsidRDefault="00000000">
      <w:pPr>
        <w:pStyle w:val="Body"/>
        <w:spacing w:line="480" w:lineRule="auto"/>
        <w:rPr>
          <w:b/>
          <w:bCs/>
        </w:rPr>
      </w:pPr>
      <w:r>
        <w:rPr>
          <w:b/>
          <w:bCs/>
          <w:lang w:val="en-US"/>
        </w:rPr>
        <w:lastRenderedPageBreak/>
        <w:t>References:</w:t>
      </w:r>
    </w:p>
    <w:p w14:paraId="3AEAE3FF" w14:textId="77777777" w:rsidR="00817771" w:rsidRDefault="00817771">
      <w:pPr>
        <w:pStyle w:val="Body"/>
        <w:rPr>
          <w:b/>
          <w:bCs/>
        </w:rPr>
      </w:pPr>
    </w:p>
    <w:p w14:paraId="60398022" w14:textId="77777777" w:rsidR="00817771" w:rsidRDefault="00000000">
      <w:pPr>
        <w:pStyle w:val="Body"/>
      </w:pPr>
      <w:r>
        <w:rPr>
          <w:rFonts w:eastAsia="Arial Unicode MS" w:cs="Arial Unicode MS"/>
          <w:lang w:val="en-US"/>
        </w:rPr>
        <w:t>Gini-Newman, G. (Oct. 28, 2017). Inspiring wonder through learning and thinking | Garfield</w:t>
      </w:r>
    </w:p>
    <w:p w14:paraId="18F571AB" w14:textId="77777777" w:rsidR="00817771" w:rsidRDefault="00000000">
      <w:pPr>
        <w:pStyle w:val="Body"/>
      </w:pPr>
      <w:r>
        <w:rPr>
          <w:rFonts w:eastAsia="Arial Unicode MS" w:cs="Arial Unicode MS"/>
          <w:lang w:val="en-US"/>
        </w:rPr>
        <w:t xml:space="preserve">Gini-Newman | </w:t>
      </w:r>
      <w:proofErr w:type="spellStart"/>
      <w:r>
        <w:rPr>
          <w:rFonts w:eastAsia="Arial Unicode MS" w:cs="Arial Unicode MS"/>
          <w:lang w:val="en-US"/>
        </w:rPr>
        <w:t>TEDxKitchenerED</w:t>
      </w:r>
      <w:proofErr w:type="spellEnd"/>
      <w:r>
        <w:rPr>
          <w:rFonts w:eastAsia="Arial Unicode MS" w:cs="Arial Unicode MS"/>
          <w:lang w:val="en-US"/>
        </w:rPr>
        <w:t xml:space="preserve">. </w:t>
      </w:r>
      <w:proofErr w:type="spellStart"/>
      <w:r>
        <w:rPr>
          <w:rFonts w:eastAsia="Arial Unicode MS" w:cs="Arial Unicode MS"/>
          <w:lang w:val="en-US"/>
        </w:rPr>
        <w:t>Tedx</w:t>
      </w:r>
      <w:proofErr w:type="spellEnd"/>
      <w:r>
        <w:rPr>
          <w:rFonts w:eastAsia="Arial Unicode MS" w:cs="Arial Unicode MS"/>
          <w:lang w:val="en-US"/>
        </w:rPr>
        <w:t xml:space="preserve"> Talks. [</w:t>
      </w:r>
      <w:proofErr w:type="spellStart"/>
      <w:r>
        <w:rPr>
          <w:rFonts w:eastAsia="Arial Unicode MS" w:cs="Arial Unicode MS"/>
          <w:lang w:val="en-US"/>
        </w:rPr>
        <w:t>Youtube</w:t>
      </w:r>
      <w:proofErr w:type="spellEnd"/>
      <w:r>
        <w:rPr>
          <w:rFonts w:eastAsia="Arial Unicode MS" w:cs="Arial Unicode MS"/>
          <w:lang w:val="en-US"/>
        </w:rPr>
        <w:t>]. https://youtu.be/qBREL3VVbZI</w:t>
      </w:r>
    </w:p>
    <w:p w14:paraId="1B167461" w14:textId="77777777" w:rsidR="00817771" w:rsidRDefault="00817771">
      <w:pPr>
        <w:pStyle w:val="Body"/>
        <w:rPr>
          <w:b/>
          <w:bCs/>
        </w:rPr>
      </w:pPr>
    </w:p>
    <w:p w14:paraId="477B7D1D" w14:textId="77777777" w:rsidR="00817771" w:rsidRDefault="00000000">
      <w:pPr>
        <w:pStyle w:val="Body"/>
      </w:pPr>
      <w:r>
        <w:rPr>
          <w:rFonts w:eastAsia="Arial Unicode MS" w:cs="Arial Unicode MS"/>
          <w:lang w:val="en-US"/>
        </w:rPr>
        <w:t>Hofer, M., &amp; Johnson, L. L. (2017). How the hack mindset can foster innovation in schools: Schools leaders can cultivate deeper learning by making small, experimental shifts.</w:t>
      </w:r>
      <w:r>
        <w:rPr>
          <w:rFonts w:eastAsia="Arial Unicode MS" w:cs="Arial Unicode MS"/>
        </w:rPr>
        <w:t> </w:t>
      </w:r>
      <w:r>
        <w:rPr>
          <w:rFonts w:eastAsia="Arial Unicode MS" w:cs="Arial Unicode MS"/>
          <w:lang w:val="en-US"/>
        </w:rPr>
        <w:t>Educational Leadership,</w:t>
      </w:r>
      <w:r>
        <w:rPr>
          <w:rFonts w:eastAsia="Arial Unicode MS" w:cs="Arial Unicode MS"/>
        </w:rPr>
        <w:t> 74(9), 52–56.</w:t>
      </w:r>
    </w:p>
    <w:p w14:paraId="677B8D23" w14:textId="77777777" w:rsidR="00817771" w:rsidRDefault="00817771">
      <w:pPr>
        <w:pStyle w:val="Body"/>
        <w:rPr>
          <w:b/>
          <w:bCs/>
        </w:rPr>
      </w:pPr>
    </w:p>
    <w:p w14:paraId="09E25C1F" w14:textId="77777777" w:rsidR="00817771" w:rsidRDefault="00000000">
      <w:pPr>
        <w:pStyle w:val="Body"/>
      </w:pPr>
      <w:r>
        <w:rPr>
          <w:rFonts w:eastAsia="Arial Unicode MS" w:cs="Arial Unicode MS"/>
          <w:lang w:val="en-US"/>
        </w:rPr>
        <w:t xml:space="preserve">Mitchell, O. (2018). The Fastest Way to Create an Ignite Presentation. </w:t>
      </w:r>
      <w:hyperlink r:id="rId6" w:history="1">
        <w:r>
          <w:rPr>
            <w:rStyle w:val="Hyperlink0"/>
            <w:rFonts w:eastAsia="Arial Unicode MS" w:cs="Arial Unicode MS"/>
            <w:lang w:val="en-US"/>
          </w:rPr>
          <w:t>https://speakingaboutpresenting.com/content/fast-ignite-presentation/</w:t>
        </w:r>
      </w:hyperlink>
    </w:p>
    <w:p w14:paraId="4BF4D406" w14:textId="77777777" w:rsidR="00817771" w:rsidRDefault="00817771">
      <w:pPr>
        <w:pStyle w:val="Body"/>
      </w:pPr>
    </w:p>
    <w:p w14:paraId="0A76BDF4" w14:textId="77777777" w:rsidR="00817771" w:rsidRDefault="00000000">
      <w:pPr>
        <w:pStyle w:val="Body"/>
      </w:pPr>
      <w:r>
        <w:rPr>
          <w:rFonts w:eastAsia="Arial Unicode MS" w:cs="Arial Unicode MS"/>
          <w:lang w:val="en-US"/>
        </w:rPr>
        <w:t>Peters, D. (2005). Mayer's Principles for the design of Multimedia Learning. Interface Design for Learning. http://designerelearning.blogspot.com/2005/09/mayers-principles-for-design-of.html</w:t>
      </w:r>
    </w:p>
    <w:p w14:paraId="0861EFF8" w14:textId="77777777" w:rsidR="00817771" w:rsidRDefault="00817771">
      <w:pPr>
        <w:pStyle w:val="Body"/>
      </w:pPr>
    </w:p>
    <w:p w14:paraId="303FA4A8" w14:textId="77777777" w:rsidR="00817771" w:rsidRDefault="00000000">
      <w:pPr>
        <w:pStyle w:val="Body"/>
      </w:pPr>
      <w:r>
        <w:rPr>
          <w:rFonts w:eastAsia="Arial Unicode MS" w:cs="Arial Unicode MS"/>
          <w:lang w:val="en-US"/>
        </w:rPr>
        <w:t>Hawker Brownlow Education. (July 17, 2013). What is Understanding by Design? Author Jay McTighe explains. [</w:t>
      </w:r>
      <w:proofErr w:type="spellStart"/>
      <w:r>
        <w:rPr>
          <w:rFonts w:eastAsia="Arial Unicode MS" w:cs="Arial Unicode MS"/>
          <w:lang w:val="en-US"/>
        </w:rPr>
        <w:t>Youtube</w:t>
      </w:r>
      <w:proofErr w:type="spellEnd"/>
      <w:r>
        <w:rPr>
          <w:rFonts w:eastAsia="Arial Unicode MS" w:cs="Arial Unicode MS"/>
          <w:lang w:val="en-US"/>
        </w:rPr>
        <w:t xml:space="preserve">]. </w:t>
      </w:r>
      <w:hyperlink r:id="rId7" w:history="1">
        <w:r>
          <w:rPr>
            <w:rStyle w:val="Hyperlink0"/>
            <w:rFonts w:eastAsia="Arial Unicode MS" w:cs="Arial Unicode MS"/>
            <w:lang w:val="en-US"/>
          </w:rPr>
          <w:t>https://youtu.be/d8F1SnWaIfE</w:t>
        </w:r>
      </w:hyperlink>
    </w:p>
    <w:p w14:paraId="149C9747" w14:textId="77777777" w:rsidR="00817771" w:rsidRDefault="00817771">
      <w:pPr>
        <w:pStyle w:val="Body"/>
      </w:pPr>
    </w:p>
    <w:p w14:paraId="566434E4" w14:textId="77777777" w:rsidR="00817771" w:rsidRDefault="00000000">
      <w:pPr>
        <w:pStyle w:val="Body"/>
      </w:pPr>
      <w:r>
        <w:rPr>
          <w:rFonts w:eastAsia="Arial Unicode MS" w:cs="Arial Unicode MS"/>
          <w:lang w:val="en-US"/>
        </w:rPr>
        <w:t xml:space="preserve">Pelling, K. (February 20, 2017). Top Tips for Engaging </w:t>
      </w:r>
      <w:proofErr w:type="spellStart"/>
      <w:r>
        <w:rPr>
          <w:rFonts w:eastAsia="Arial Unicode MS" w:cs="Arial Unicode MS"/>
          <w:lang w:val="en-US"/>
        </w:rPr>
        <w:t>Youtube</w:t>
      </w:r>
      <w:proofErr w:type="spellEnd"/>
      <w:r>
        <w:rPr>
          <w:rFonts w:eastAsia="Arial Unicode MS" w:cs="Arial Unicode MS"/>
          <w:lang w:val="en-US"/>
        </w:rPr>
        <w:t xml:space="preserve"> Videos. The Family Adventure Project. https://www.familyadventureproject.org/youtube-video-tips/</w:t>
      </w:r>
    </w:p>
    <w:p w14:paraId="5D4DEE36" w14:textId="77777777" w:rsidR="00817771" w:rsidRDefault="00817771">
      <w:pPr>
        <w:pStyle w:val="Body"/>
      </w:pPr>
    </w:p>
    <w:p w14:paraId="11B8703A" w14:textId="77777777" w:rsidR="00817771" w:rsidRDefault="00000000">
      <w:pPr>
        <w:pStyle w:val="Body"/>
      </w:pPr>
      <w:proofErr w:type="spellStart"/>
      <w:r>
        <w:rPr>
          <w:rFonts w:eastAsia="Arial Unicode MS" w:cs="Arial Unicode MS"/>
          <w:lang w:val="en-US"/>
        </w:rPr>
        <w:t>Stentiford</w:t>
      </w:r>
      <w:proofErr w:type="spellEnd"/>
      <w:r>
        <w:rPr>
          <w:rFonts w:eastAsia="Arial Unicode MS" w:cs="Arial Unicode MS"/>
          <w:lang w:val="en-US"/>
        </w:rPr>
        <w:t xml:space="preserve">, L., &amp; </w:t>
      </w:r>
      <w:proofErr w:type="spellStart"/>
      <w:r>
        <w:rPr>
          <w:rFonts w:eastAsia="Arial Unicode MS" w:cs="Arial Unicode MS"/>
          <w:lang w:val="en-US"/>
        </w:rPr>
        <w:t>Koutsouris</w:t>
      </w:r>
      <w:proofErr w:type="spellEnd"/>
      <w:r>
        <w:rPr>
          <w:rFonts w:eastAsia="Arial Unicode MS" w:cs="Arial Unicode MS"/>
          <w:lang w:val="en-US"/>
        </w:rPr>
        <w:t>, G. (2021) What are inclusive pedagogies in higher education? A systematic scoping review. Studies in Higher Education, 46(11), 2245</w:t>
      </w:r>
      <w:r>
        <w:rPr>
          <w:rFonts w:eastAsia="Arial Unicode MS" w:cs="Arial Unicode MS"/>
        </w:rPr>
        <w:t>–2261.</w:t>
      </w:r>
    </w:p>
    <w:p w14:paraId="6BB6160B" w14:textId="77777777" w:rsidR="00817771" w:rsidRDefault="00817771">
      <w:pPr>
        <w:pStyle w:val="Body"/>
      </w:pPr>
    </w:p>
    <w:p w14:paraId="43788DF2" w14:textId="77777777" w:rsidR="00817771" w:rsidRDefault="00000000">
      <w:pPr>
        <w:pStyle w:val="Body"/>
      </w:pPr>
      <w:proofErr w:type="spellStart"/>
      <w:r>
        <w:rPr>
          <w:rFonts w:eastAsia="Arial Unicode MS" w:cs="Arial Unicode MS"/>
          <w:lang w:val="en-US"/>
        </w:rPr>
        <w:t>Tahirsylaj</w:t>
      </w:r>
      <w:proofErr w:type="spellEnd"/>
      <w:r>
        <w:rPr>
          <w:rFonts w:eastAsia="Arial Unicode MS" w:cs="Arial Unicode MS"/>
          <w:lang w:val="en-US"/>
        </w:rPr>
        <w:t>, A. (2012). Stimulating creativity and innovation through Intelligent Fast Failure.</w:t>
      </w:r>
    </w:p>
    <w:p w14:paraId="02EA50C3" w14:textId="77777777" w:rsidR="00817771" w:rsidRDefault="00000000">
      <w:pPr>
        <w:pStyle w:val="Body"/>
      </w:pPr>
      <w:r>
        <w:rPr>
          <w:rFonts w:eastAsia="Arial Unicode MS" w:cs="Arial Unicode MS"/>
          <w:lang w:val="en-US"/>
        </w:rPr>
        <w:t>Thinking Skills and Creativity 7 (2012) 265</w:t>
      </w:r>
      <w:r>
        <w:rPr>
          <w:rFonts w:eastAsia="Arial Unicode MS" w:cs="Arial Unicode MS"/>
        </w:rPr>
        <w:t>–</w:t>
      </w:r>
      <w:r>
        <w:rPr>
          <w:rFonts w:eastAsia="Arial Unicode MS" w:cs="Arial Unicode MS"/>
          <w:lang w:val="en-US"/>
        </w:rPr>
        <w:t>270. Department of Education Policy Studies,</w:t>
      </w:r>
    </w:p>
    <w:p w14:paraId="72290621" w14:textId="77777777" w:rsidR="00817771" w:rsidRDefault="00000000">
      <w:pPr>
        <w:pStyle w:val="Body"/>
      </w:pPr>
      <w:r>
        <w:rPr>
          <w:rFonts w:eastAsia="Arial Unicode MS" w:cs="Arial Unicode MS"/>
          <w:lang w:val="en-US"/>
        </w:rPr>
        <w:t>College of Education, Pennsylvania State University, University Park, PA, United States.</w:t>
      </w:r>
    </w:p>
    <w:p w14:paraId="2ADD1029" w14:textId="77777777" w:rsidR="00817771" w:rsidRDefault="00817771">
      <w:pPr>
        <w:pStyle w:val="Body"/>
      </w:pPr>
    </w:p>
    <w:p w14:paraId="7DC1BC26" w14:textId="77777777" w:rsidR="00817771" w:rsidRDefault="00817771">
      <w:pPr>
        <w:pStyle w:val="Body"/>
      </w:pPr>
    </w:p>
    <w:p w14:paraId="0C5BF40C" w14:textId="77777777" w:rsidR="00817771" w:rsidRDefault="00000000">
      <w:pPr>
        <w:pStyle w:val="Body"/>
        <w:rPr>
          <w:b/>
          <w:bCs/>
        </w:rPr>
      </w:pPr>
      <w:r>
        <w:rPr>
          <w:b/>
          <w:bCs/>
          <w:lang w:val="en-US"/>
        </w:rPr>
        <w:t xml:space="preserve">References in Presentation: </w:t>
      </w:r>
    </w:p>
    <w:p w14:paraId="3EAE15C0" w14:textId="77777777" w:rsidR="00817771" w:rsidRDefault="00817771">
      <w:pPr>
        <w:pStyle w:val="Body"/>
        <w:rPr>
          <w:b/>
          <w:bCs/>
        </w:rPr>
      </w:pPr>
    </w:p>
    <w:p w14:paraId="378532BA" w14:textId="77777777" w:rsidR="00817771" w:rsidRDefault="00000000">
      <w:pPr>
        <w:pStyle w:val="Body"/>
      </w:pPr>
      <w:r>
        <w:rPr>
          <w:rFonts w:eastAsia="Arial Unicode MS" w:cs="Arial Unicode MS"/>
          <w:lang w:val="en-US"/>
        </w:rPr>
        <w:t>Ontario Ministry of Education. (May, 2013). Inquiry-based Learning. Capacity Building Series. Literacy and Numeracy Secretariat, Issue 32, pp. 1-8.</w:t>
      </w:r>
    </w:p>
    <w:p w14:paraId="0BF7EA75" w14:textId="77777777" w:rsidR="00817771" w:rsidRDefault="00817771">
      <w:pPr>
        <w:pStyle w:val="Body"/>
      </w:pPr>
    </w:p>
    <w:p w14:paraId="40EA38A9" w14:textId="77777777" w:rsidR="00817771" w:rsidRDefault="00000000">
      <w:pPr>
        <w:pStyle w:val="Body"/>
      </w:pPr>
      <w:r>
        <w:rPr>
          <w:rFonts w:eastAsia="Arial Unicode MS" w:cs="Arial Unicode MS"/>
          <w:lang w:val="en-US"/>
        </w:rPr>
        <w:t>Sternberg, B. (2008). Excellence for all. Educational Leadership, 66(2), 14—</w:t>
      </w:r>
      <w:r>
        <w:rPr>
          <w:rFonts w:eastAsia="Arial Unicode MS" w:cs="Arial Unicode MS"/>
        </w:rPr>
        <w:t>19.</w:t>
      </w:r>
    </w:p>
    <w:p w14:paraId="748C8109" w14:textId="77777777" w:rsidR="00817771" w:rsidRDefault="00817771">
      <w:pPr>
        <w:pStyle w:val="Body"/>
      </w:pPr>
    </w:p>
    <w:p w14:paraId="4D3F27B6" w14:textId="77777777" w:rsidR="00817771" w:rsidRDefault="00000000">
      <w:pPr>
        <w:pStyle w:val="Body"/>
      </w:pPr>
      <w:r>
        <w:rPr>
          <w:rFonts w:eastAsia="Arial Unicode MS" w:cs="Arial Unicode MS"/>
          <w:lang w:val="en-US"/>
        </w:rPr>
        <w:t>Hawker Brownlow Education. (July 17, 2013). What is Understanding by Design? Author Jay McTighe explains. [</w:t>
      </w:r>
      <w:proofErr w:type="spellStart"/>
      <w:r>
        <w:rPr>
          <w:rFonts w:eastAsia="Arial Unicode MS" w:cs="Arial Unicode MS"/>
          <w:lang w:val="en-US"/>
        </w:rPr>
        <w:t>Youtube</w:t>
      </w:r>
      <w:proofErr w:type="spellEnd"/>
      <w:r>
        <w:rPr>
          <w:rFonts w:eastAsia="Arial Unicode MS" w:cs="Arial Unicode MS"/>
          <w:lang w:val="en-US"/>
        </w:rPr>
        <w:t xml:space="preserve">]. </w:t>
      </w:r>
      <w:hyperlink r:id="rId8" w:history="1">
        <w:r>
          <w:rPr>
            <w:rStyle w:val="Hyperlink0"/>
            <w:rFonts w:eastAsia="Arial Unicode MS" w:cs="Arial Unicode MS"/>
            <w:lang w:val="en-US"/>
          </w:rPr>
          <w:t>https://youtu.be/d8F1SnWaIfE</w:t>
        </w:r>
      </w:hyperlink>
    </w:p>
    <w:sectPr w:rsidR="00817771">
      <w:headerReference w:type="default" r:id="rId9"/>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F3401" w14:textId="77777777" w:rsidR="004D250C" w:rsidRDefault="004D250C">
      <w:r>
        <w:separator/>
      </w:r>
    </w:p>
  </w:endnote>
  <w:endnote w:type="continuationSeparator" w:id="0">
    <w:p w14:paraId="0F454932" w14:textId="77777777" w:rsidR="004D250C" w:rsidRDefault="004D25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1B78E" w14:textId="77777777" w:rsidR="00817771" w:rsidRDefault="008177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C8405" w14:textId="77777777" w:rsidR="004D250C" w:rsidRDefault="004D250C">
      <w:r>
        <w:separator/>
      </w:r>
    </w:p>
  </w:footnote>
  <w:footnote w:type="continuationSeparator" w:id="0">
    <w:p w14:paraId="6FEC9F93" w14:textId="77777777" w:rsidR="004D250C" w:rsidRDefault="004D25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887E7" w14:textId="77777777" w:rsidR="00817771" w:rsidRDefault="0081777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771"/>
    <w:rsid w:val="004D250C"/>
    <w:rsid w:val="00817771"/>
    <w:rsid w:val="00FD16EA"/>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20CEFB"/>
  <w15:docId w15:val="{3B09BD24-55D7-7C43-A1E0-40A99E7ED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CA"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youtu.be/d8F1SnWaIfE" TargetMode="External"/><Relationship Id="rId3" Type="http://schemas.openxmlformats.org/officeDocument/2006/relationships/webSettings" Target="webSettings.xml"/><Relationship Id="rId7" Type="http://schemas.openxmlformats.org/officeDocument/2006/relationships/hyperlink" Target="https://youtu.be/d8F1SnWaIf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peakingaboutpresenting.com/content/fast-ignite-presentatio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963</Words>
  <Characters>5494</Characters>
  <Application>Microsoft Office Word</Application>
  <DocSecurity>0</DocSecurity>
  <Lines>45</Lines>
  <Paragraphs>12</Paragraphs>
  <ScaleCrop>false</ScaleCrop>
  <Company/>
  <LinksUpToDate>false</LinksUpToDate>
  <CharactersWithSpaces>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Richard S</cp:lastModifiedBy>
  <cp:revision>2</cp:revision>
  <dcterms:created xsi:type="dcterms:W3CDTF">2024-06-20T10:39:00Z</dcterms:created>
  <dcterms:modified xsi:type="dcterms:W3CDTF">2024-06-20T10:40:00Z</dcterms:modified>
</cp:coreProperties>
</file>